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EBA81" w14:textId="77777777" w:rsidR="001D510B" w:rsidRDefault="001D510B">
      <w:pPr>
        <w:tabs>
          <w:tab w:val="center" w:pos="4819"/>
          <w:tab w:val="right" w:pos="9638"/>
        </w:tabs>
        <w:jc w:val="center"/>
      </w:pPr>
    </w:p>
    <w:p w14:paraId="2815B192" w14:textId="77777777" w:rsidR="001D510B" w:rsidRDefault="001D510B">
      <w:pPr>
        <w:tabs>
          <w:tab w:val="center" w:pos="4819"/>
          <w:tab w:val="right" w:pos="9638"/>
        </w:tabs>
      </w:pPr>
    </w:p>
    <w:p w14:paraId="78FE748D" w14:textId="77777777" w:rsidR="001D510B" w:rsidRDefault="002C0294">
      <w:pPr>
        <w:tabs>
          <w:tab w:val="center" w:pos="4153"/>
          <w:tab w:val="left" w:pos="8270"/>
        </w:tabs>
        <w:jc w:val="center"/>
        <w:rPr>
          <w:b/>
        </w:rPr>
      </w:pPr>
      <w:r>
        <w:rPr>
          <w:b/>
          <w:noProof/>
          <w:szCs w:val="24"/>
          <w:lang w:eastAsia="lt-LT"/>
        </w:rPr>
        <w:drawing>
          <wp:inline distT="0" distB="0" distL="0" distR="0" wp14:anchorId="42053929" wp14:editId="5D6EA2E0">
            <wp:extent cx="476250" cy="552450"/>
            <wp:effectExtent l="0" t="0" r="0" b="0"/>
            <wp:docPr id="1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EB424" w14:textId="69B8FE3E" w:rsidR="001D510B" w:rsidRDefault="002C0294">
      <w:pPr>
        <w:tabs>
          <w:tab w:val="center" w:pos="4153"/>
          <w:tab w:val="left" w:pos="8270"/>
        </w:tabs>
        <w:jc w:val="center"/>
        <w:rPr>
          <w:b/>
        </w:rPr>
      </w:pPr>
      <w:r>
        <w:rPr>
          <w:b/>
        </w:rPr>
        <w:t>LIETUVOS RESPUBLIKOS SVEIKATOS APSAUGOS MINISTRAS</w:t>
      </w:r>
    </w:p>
    <w:p w14:paraId="2431A431" w14:textId="77777777" w:rsidR="001D510B" w:rsidRDefault="001D510B">
      <w:pPr>
        <w:tabs>
          <w:tab w:val="center" w:pos="4153"/>
          <w:tab w:val="right" w:pos="8306"/>
        </w:tabs>
        <w:jc w:val="center"/>
        <w:rPr>
          <w:b/>
        </w:rPr>
      </w:pPr>
    </w:p>
    <w:p w14:paraId="1AC60BC0" w14:textId="71A8E94E" w:rsidR="001D510B" w:rsidRDefault="002C0294">
      <w:pPr>
        <w:tabs>
          <w:tab w:val="center" w:pos="4153"/>
          <w:tab w:val="right" w:pos="8306"/>
        </w:tabs>
        <w:jc w:val="center"/>
        <w:rPr>
          <w:b/>
          <w:szCs w:val="24"/>
        </w:rPr>
      </w:pPr>
      <w:r>
        <w:rPr>
          <w:b/>
        </w:rPr>
        <w:t>ĮSAKYMAS</w:t>
      </w:r>
    </w:p>
    <w:p w14:paraId="0D1643D6" w14:textId="47AC6ED8" w:rsidR="001D510B" w:rsidRDefault="002C0294">
      <w:pPr>
        <w:suppressAutoHyphens/>
        <w:jc w:val="center"/>
        <w:rPr>
          <w:b/>
          <w:bCs/>
          <w:color w:val="000000"/>
        </w:rPr>
      </w:pPr>
      <w:r>
        <w:rPr>
          <w:b/>
          <w:bCs/>
        </w:rPr>
        <w:t xml:space="preserve">DĖL </w:t>
      </w:r>
      <w:r>
        <w:rPr>
          <w:b/>
          <w:bCs/>
          <w:color w:val="000000"/>
        </w:rPr>
        <w:t xml:space="preserve">KRITERIJŲ, KURIAIS VADOVAUJANTIS DARBUOTOJAMS NEATLIEKAMI SVEIKATOS PATIKRINIMAI, AR NESERGA COVID-19 LIGA (KORONAVIRUSO INFEKCIJA), DĖL KURIOS YRA PASKELBTA VALSTYBĖS LYGIO EKSTREMALIOJI SITUACIJA IR (AR) KARANTINAS, NUSTATYMO </w:t>
      </w:r>
    </w:p>
    <w:p w14:paraId="3828AA0D" w14:textId="77777777" w:rsidR="001D510B" w:rsidRDefault="001D510B">
      <w:pPr>
        <w:jc w:val="center"/>
        <w:rPr>
          <w:szCs w:val="24"/>
        </w:rPr>
      </w:pPr>
    </w:p>
    <w:p w14:paraId="09B771F9" w14:textId="6B5168EF" w:rsidR="001D510B" w:rsidRDefault="002C0294">
      <w:pPr>
        <w:jc w:val="center"/>
        <w:rPr>
          <w:szCs w:val="24"/>
        </w:rPr>
      </w:pPr>
      <w:r>
        <w:rPr>
          <w:szCs w:val="24"/>
        </w:rPr>
        <w:t>2021 m. rugpjūčio 27</w:t>
      </w:r>
      <w:r>
        <w:rPr>
          <w:szCs w:val="24"/>
        </w:rPr>
        <w:t xml:space="preserve">  d. Nr. V-1946</w:t>
      </w:r>
    </w:p>
    <w:p w14:paraId="5D9C088A" w14:textId="77777777" w:rsidR="001D510B" w:rsidRDefault="002C0294">
      <w:pPr>
        <w:jc w:val="center"/>
        <w:rPr>
          <w:szCs w:val="24"/>
        </w:rPr>
      </w:pPr>
      <w:r>
        <w:rPr>
          <w:szCs w:val="24"/>
        </w:rPr>
        <w:t>Vilnius</w:t>
      </w:r>
    </w:p>
    <w:p w14:paraId="460080FB" w14:textId="77777777" w:rsidR="001D510B" w:rsidRDefault="001D510B">
      <w:pPr>
        <w:ind w:firstLine="851"/>
        <w:jc w:val="both"/>
        <w:rPr>
          <w:szCs w:val="24"/>
        </w:rPr>
      </w:pPr>
    </w:p>
    <w:p w14:paraId="7363E341" w14:textId="3E1616D3" w:rsidR="001D510B" w:rsidRDefault="002C0294">
      <w:pPr>
        <w:ind w:firstLine="851"/>
        <w:jc w:val="both"/>
        <w:rPr>
          <w:color w:val="000000"/>
        </w:rPr>
      </w:pPr>
      <w:r>
        <w:t xml:space="preserve">Vadovaudamasis </w:t>
      </w:r>
      <w:r>
        <w:rPr>
          <w:color w:val="000000"/>
        </w:rPr>
        <w:t>Darbuotojų, kuriems leidžiama dirbti pasitikrinusiems ir (ar) periodiškai besitikrinantiems, ar neserga užkrečiamąja liga, dėl kurios yra paskelbta valstybės lygio ekstremalioji situacija ir (ar) karantinas, sveikatos t</w:t>
      </w:r>
      <w:r>
        <w:rPr>
          <w:color w:val="000000"/>
        </w:rPr>
        <w:t xml:space="preserve">ikrinimosi tvarkos, patvirtintos Lietuvos Respublikos Vyriausybės 1999 m. gegužės 7 d. nutarimu Nr. 544 „Dėl Darbų ir veiklos sričių, kuriose leidžiama dirbti darbuotojams, tik iš anksto pasitikrinusiems ir vėliau periodiškai besitikrinantiems, ar neserga </w:t>
      </w:r>
      <w:r>
        <w:rPr>
          <w:color w:val="000000"/>
        </w:rPr>
        <w:t>užkrečiamosiomis ligomis, sąrašo, Darbų ir veiklos sričių, kuriose leidžiama dirbti darbuotojams, pasitikrinusiems ir (ar) periodiškai besitikrinantiems, ar neserga užkrečiamąja liga, dėl kurios yra paskelbta valstybės lygio ekstremalioji situacija ir (ar)</w:t>
      </w:r>
      <w:r>
        <w:rPr>
          <w:color w:val="000000"/>
        </w:rPr>
        <w:t xml:space="preserve"> karantinas, sąrašo ir šių darbuotojų sveikatos tikrinimosi tvarkos patvirtinimo“ (toliau – Tvarka), 7 punktu, </w:t>
      </w:r>
    </w:p>
    <w:p w14:paraId="7C8158AB" w14:textId="0CAC7167" w:rsidR="001D510B" w:rsidRDefault="002C0294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n u s t a t a u, kad sveikatos patikrinimai, ar neserga </w:t>
      </w:r>
      <w:r>
        <w:rPr>
          <w:color w:val="000000"/>
          <w:lang w:eastAsia="lt-LT"/>
        </w:rPr>
        <w:t>COVID-19 liga (</w:t>
      </w:r>
      <w:proofErr w:type="spellStart"/>
      <w:r>
        <w:rPr>
          <w:color w:val="000000"/>
          <w:lang w:eastAsia="lt-LT"/>
        </w:rPr>
        <w:t>koronaviruso</w:t>
      </w:r>
      <w:proofErr w:type="spellEnd"/>
      <w:r>
        <w:rPr>
          <w:color w:val="000000"/>
          <w:lang w:eastAsia="lt-LT"/>
        </w:rPr>
        <w:t xml:space="preserve"> infekcija)</w:t>
      </w:r>
      <w:r>
        <w:rPr>
          <w:color w:val="000000"/>
        </w:rPr>
        <w:t>, dėl kurios yra paskelbta valstybės lygio ekstr</w:t>
      </w:r>
      <w:r>
        <w:rPr>
          <w:color w:val="000000"/>
        </w:rPr>
        <w:t>emalioji situacija ir (ar) karantinas, neatliekami Tvarkos 3 ir 4 punktuose nurodytiems darbuotojams, kurie atitinka bent vieną iš šių kriterijų:</w:t>
      </w:r>
    </w:p>
    <w:p w14:paraId="1DCB64B3" w14:textId="02F8E5E8" w:rsidR="001D510B" w:rsidRDefault="002C0294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</w:t>
      </w:r>
      <w:r>
        <w:rPr>
          <w:color w:val="000000"/>
          <w:lang w:eastAsia="lt-LT"/>
        </w:rPr>
        <w:t>.</w:t>
      </w:r>
      <w:r>
        <w:rPr>
          <w:color w:val="000000"/>
          <w:lang w:eastAsia="lt-LT"/>
        </w:rPr>
        <w:tab/>
        <w:t>Asmuo persirgo COVID-19 liga (</w:t>
      </w:r>
      <w:proofErr w:type="spellStart"/>
      <w:r>
        <w:rPr>
          <w:color w:val="000000"/>
          <w:lang w:eastAsia="lt-LT"/>
        </w:rPr>
        <w:t>koronaviruso</w:t>
      </w:r>
      <w:proofErr w:type="spellEnd"/>
      <w:r>
        <w:rPr>
          <w:color w:val="000000"/>
          <w:lang w:eastAsia="lt-LT"/>
        </w:rPr>
        <w:t xml:space="preserve"> infekcija) ir:</w:t>
      </w:r>
    </w:p>
    <w:p w14:paraId="1EE2E97E" w14:textId="6BC6C052" w:rsidR="001D510B" w:rsidRDefault="002C0294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1.1</w:t>
      </w:r>
      <w:r>
        <w:rPr>
          <w:color w:val="000000"/>
          <w:lang w:eastAsia="lt-LT"/>
        </w:rPr>
        <w:t>.</w:t>
      </w:r>
      <w:r>
        <w:rPr>
          <w:color w:val="000000"/>
          <w:lang w:eastAsia="lt-LT"/>
        </w:rPr>
        <w:tab/>
        <w:t>diagnozė buvo patvirtinta</w:t>
      </w:r>
      <w:r>
        <w:rPr>
          <w:color w:val="000000"/>
        </w:rPr>
        <w:t xml:space="preserve"> remiantis te</w:t>
      </w:r>
      <w:r>
        <w:rPr>
          <w:color w:val="000000"/>
        </w:rPr>
        <w:t xml:space="preserve">igiamu </w:t>
      </w:r>
      <w:r>
        <w:rPr>
          <w:color w:val="000000"/>
          <w:shd w:val="clear" w:color="auto" w:fill="FFFFFF"/>
        </w:rPr>
        <w:t>SARS-</w:t>
      </w:r>
      <w:proofErr w:type="spellStart"/>
      <w:r>
        <w:rPr>
          <w:color w:val="000000"/>
          <w:shd w:val="clear" w:color="auto" w:fill="FFFFFF"/>
        </w:rPr>
        <w:t>CoV-2</w:t>
      </w:r>
      <w:proofErr w:type="spellEnd"/>
      <w:r>
        <w:rPr>
          <w:color w:val="000000"/>
          <w:shd w:val="clear" w:color="auto" w:fill="FFFFFF"/>
        </w:rPr>
        <w:t xml:space="preserve"> (2019-nCoV) RNR nustatymo </w:t>
      </w:r>
      <w:proofErr w:type="spellStart"/>
      <w:r>
        <w:rPr>
          <w:color w:val="000000"/>
          <w:shd w:val="clear" w:color="auto" w:fill="FFFFFF"/>
        </w:rPr>
        <w:t>tikralaikės</w:t>
      </w:r>
      <w:proofErr w:type="spellEnd"/>
      <w:r>
        <w:rPr>
          <w:color w:val="000000"/>
          <w:shd w:val="clear" w:color="auto" w:fill="FFFFFF"/>
        </w:rPr>
        <w:t> </w:t>
      </w:r>
      <w:proofErr w:type="spellStart"/>
      <w:r>
        <w:rPr>
          <w:color w:val="000000"/>
        </w:rPr>
        <w:t>polimerazės</w:t>
      </w:r>
      <w:proofErr w:type="spellEnd"/>
      <w:r>
        <w:rPr>
          <w:color w:val="000000"/>
        </w:rPr>
        <w:t xml:space="preserve"> grandininės reakcijos</w:t>
      </w:r>
      <w:r>
        <w:rPr>
          <w:color w:val="000000"/>
          <w:shd w:val="clear" w:color="auto" w:fill="FFFFFF"/>
        </w:rPr>
        <w:t xml:space="preserve"> metodu tyrimo (toliau – PGR tyrimas) </w:t>
      </w:r>
      <w:r>
        <w:rPr>
          <w:color w:val="000000"/>
        </w:rPr>
        <w:t>ar greitojo SARS-</w:t>
      </w:r>
      <w:proofErr w:type="spellStart"/>
      <w:r>
        <w:rPr>
          <w:color w:val="000000"/>
        </w:rPr>
        <w:t>CoV-2</w:t>
      </w:r>
      <w:proofErr w:type="spellEnd"/>
      <w:r>
        <w:rPr>
          <w:color w:val="000000"/>
        </w:rPr>
        <w:t xml:space="preserve"> antigeno testo (toliau – antigeno testas) rezultatu, o nuo teigiamo tyrimo rezultato praėjo ne daugiau kai</w:t>
      </w:r>
      <w:r>
        <w:rPr>
          <w:color w:val="000000"/>
        </w:rPr>
        <w:t>p</w:t>
      </w:r>
      <w:r>
        <w:rPr>
          <w:color w:val="000000"/>
          <w:lang w:eastAsia="lt-LT"/>
        </w:rPr>
        <w:t xml:space="preserve"> 210 dienų, </w:t>
      </w:r>
      <w:r>
        <w:rPr>
          <w:color w:val="000000"/>
        </w:rPr>
        <w:t>arba</w:t>
      </w:r>
    </w:p>
    <w:p w14:paraId="02243EAD" w14:textId="4A355C4E" w:rsidR="001D510B" w:rsidRDefault="002C0294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1.2</w:t>
      </w:r>
      <w:r>
        <w:rPr>
          <w:color w:val="000000"/>
          <w:lang w:eastAsia="lt-LT"/>
        </w:rPr>
        <w:t>.</w:t>
      </w:r>
      <w:r>
        <w:rPr>
          <w:color w:val="000000"/>
          <w:lang w:eastAsia="lt-LT"/>
        </w:rPr>
        <w:tab/>
        <w:t>yra gavęs teigiamą (</w:t>
      </w:r>
      <w:r>
        <w:rPr>
          <w:color w:val="000000"/>
        </w:rPr>
        <w:t xml:space="preserve">kai nustatomi </w:t>
      </w:r>
      <w:proofErr w:type="spellStart"/>
      <w:r>
        <w:rPr>
          <w:color w:val="000000"/>
        </w:rPr>
        <w:t>anti-S,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anti-S1</w:t>
      </w:r>
      <w:proofErr w:type="spellEnd"/>
      <w:r>
        <w:rPr>
          <w:color w:val="000000"/>
        </w:rPr>
        <w:t xml:space="preserve"> arba </w:t>
      </w:r>
      <w:proofErr w:type="spellStart"/>
      <w:r>
        <w:rPr>
          <w:color w:val="000000"/>
        </w:rPr>
        <w:t>anti-RBD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IgG</w:t>
      </w:r>
      <w:proofErr w:type="spellEnd"/>
      <w:r>
        <w:rPr>
          <w:color w:val="000000"/>
        </w:rPr>
        <w:t> antikūnai prieš SARS-</w:t>
      </w:r>
      <w:proofErr w:type="spellStart"/>
      <w:r>
        <w:rPr>
          <w:color w:val="000000"/>
        </w:rPr>
        <w:t>CoV-2)</w:t>
      </w:r>
      <w:proofErr w:type="spellEnd"/>
      <w:r>
        <w:rPr>
          <w:color w:val="000000"/>
        </w:rPr>
        <w:t xml:space="preserve"> kiekybinio ar pusiau kiekybinio serologinio imunologinio tyrimo (toliau – serologinis tyrimas)</w:t>
      </w:r>
      <w:r>
        <w:rPr>
          <w:color w:val="000000"/>
          <w:lang w:eastAsia="lt-LT"/>
        </w:rPr>
        <w:t xml:space="preserve"> atsakymą, o nuo atsakymo</w:t>
      </w:r>
      <w:r>
        <w:rPr>
          <w:color w:val="000000"/>
        </w:rPr>
        <w:t xml:space="preserve"> praėjo ne dau</w:t>
      </w:r>
      <w:r>
        <w:rPr>
          <w:color w:val="000000"/>
        </w:rPr>
        <w:t>giau kaip</w:t>
      </w:r>
      <w:r>
        <w:rPr>
          <w:color w:val="000000"/>
          <w:lang w:eastAsia="lt-LT"/>
        </w:rPr>
        <w:t xml:space="preserve"> 60 dienų. Netaikoma tais atvejais, kai serologinis tyrimas atliekamas po skiepijimo COVID-19 ligos (</w:t>
      </w:r>
      <w:proofErr w:type="spellStart"/>
      <w:r>
        <w:rPr>
          <w:color w:val="000000"/>
          <w:lang w:eastAsia="lt-LT"/>
        </w:rPr>
        <w:t>koronaviruso</w:t>
      </w:r>
      <w:proofErr w:type="spellEnd"/>
      <w:r>
        <w:rPr>
          <w:color w:val="000000"/>
          <w:lang w:eastAsia="lt-LT"/>
        </w:rPr>
        <w:t xml:space="preserve"> infekcija) vakcina. </w:t>
      </w:r>
    </w:p>
    <w:p w14:paraId="1E1F2177" w14:textId="495A6FDF" w:rsidR="001D510B" w:rsidRDefault="002C0294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</w:t>
      </w:r>
      <w:r>
        <w:rPr>
          <w:color w:val="000000"/>
          <w:lang w:eastAsia="lt-LT"/>
        </w:rPr>
        <w:t>.</w:t>
      </w:r>
      <w:r>
        <w:rPr>
          <w:color w:val="000000"/>
          <w:lang w:eastAsia="lt-LT"/>
        </w:rPr>
        <w:tab/>
        <w:t>Asmuo yra pasiskiepijęs viena iš šių COVID-19 ligos (</w:t>
      </w:r>
      <w:proofErr w:type="spellStart"/>
      <w:r>
        <w:rPr>
          <w:color w:val="000000"/>
          <w:lang w:eastAsia="lt-LT"/>
        </w:rPr>
        <w:t>koronaviruso</w:t>
      </w:r>
      <w:proofErr w:type="spellEnd"/>
      <w:r>
        <w:rPr>
          <w:color w:val="000000"/>
          <w:lang w:eastAsia="lt-LT"/>
        </w:rPr>
        <w:t xml:space="preserve"> infekcijos) vakcinų:</w:t>
      </w:r>
    </w:p>
    <w:p w14:paraId="6341F0AC" w14:textId="36CA5E5E" w:rsidR="001D510B" w:rsidRDefault="002C0294">
      <w:pPr>
        <w:tabs>
          <w:tab w:val="left" w:pos="1418"/>
        </w:tabs>
        <w:ind w:firstLine="851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2.1</w:t>
      </w:r>
      <w:r>
        <w:rPr>
          <w:color w:val="000000"/>
          <w:lang w:eastAsia="lt-LT"/>
        </w:rPr>
        <w:t>.</w:t>
      </w:r>
      <w:r>
        <w:rPr>
          <w:color w:val="000000"/>
          <w:lang w:eastAsia="lt-LT"/>
        </w:rPr>
        <w:tab/>
        <w:t xml:space="preserve">praėjus </w:t>
      </w:r>
      <w:r>
        <w:rPr>
          <w:color w:val="000000"/>
          <w:lang w:eastAsia="lt-LT"/>
        </w:rPr>
        <w:t>vienai savaitei nuo „</w:t>
      </w:r>
      <w:proofErr w:type="spellStart"/>
      <w:r>
        <w:rPr>
          <w:color w:val="000000"/>
          <w:lang w:eastAsia="lt-LT"/>
        </w:rPr>
        <w:t>Comirnaty</w:t>
      </w:r>
      <w:proofErr w:type="spellEnd"/>
      <w:r>
        <w:rPr>
          <w:color w:val="000000"/>
          <w:lang w:eastAsia="lt-LT"/>
        </w:rPr>
        <w:t>“ ar „</w:t>
      </w:r>
      <w:proofErr w:type="spellStart"/>
      <w:r>
        <w:rPr>
          <w:color w:val="000000"/>
          <w:lang w:eastAsia="lt-LT"/>
        </w:rPr>
        <w:t>Spikevax</w:t>
      </w:r>
      <w:proofErr w:type="spellEnd"/>
      <w:r>
        <w:rPr>
          <w:color w:val="000000"/>
          <w:lang w:eastAsia="lt-LT"/>
        </w:rPr>
        <w:t>“ vakcinos antrosios dozės suleidimo pagal skiepijimo schemą, išskyrus šio įsakymo 2.5 papunktyje nurodytą atvejį;</w:t>
      </w:r>
    </w:p>
    <w:p w14:paraId="73BAF1D0" w14:textId="02E45B04" w:rsidR="001D510B" w:rsidRDefault="002C0294">
      <w:pPr>
        <w:tabs>
          <w:tab w:val="left" w:pos="1418"/>
          <w:tab w:val="left" w:pos="1701"/>
        </w:tabs>
        <w:ind w:firstLine="851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2.2</w:t>
      </w:r>
      <w:r>
        <w:rPr>
          <w:color w:val="000000"/>
          <w:lang w:eastAsia="lt-LT"/>
        </w:rPr>
        <w:t>.</w:t>
      </w:r>
      <w:r>
        <w:rPr>
          <w:color w:val="000000"/>
          <w:lang w:eastAsia="lt-LT"/>
        </w:rPr>
        <w:tab/>
        <w:t xml:space="preserve">praėjus 2 savaitėms nuo „COVID-19 </w:t>
      </w:r>
      <w:proofErr w:type="spellStart"/>
      <w:r>
        <w:rPr>
          <w:color w:val="000000"/>
          <w:lang w:eastAsia="lt-LT"/>
        </w:rPr>
        <w:t>Vaccine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Janssen</w:t>
      </w:r>
      <w:proofErr w:type="spellEnd"/>
      <w:r>
        <w:rPr>
          <w:color w:val="000000"/>
          <w:lang w:eastAsia="lt-LT"/>
        </w:rPr>
        <w:t>“ vakcinos dozės suleidimo;</w:t>
      </w:r>
    </w:p>
    <w:p w14:paraId="65DBB803" w14:textId="133DE08B" w:rsidR="001D510B" w:rsidRDefault="002C0294">
      <w:pPr>
        <w:tabs>
          <w:tab w:val="left" w:pos="1418"/>
          <w:tab w:val="left" w:pos="1701"/>
        </w:tabs>
        <w:ind w:firstLine="851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2.3</w:t>
      </w:r>
      <w:r>
        <w:rPr>
          <w:color w:val="000000"/>
          <w:lang w:eastAsia="lt-LT"/>
        </w:rPr>
        <w:t>.</w:t>
      </w:r>
      <w:r>
        <w:rPr>
          <w:color w:val="000000"/>
          <w:lang w:eastAsia="lt-LT"/>
        </w:rPr>
        <w:tab/>
      </w:r>
      <w:r>
        <w:rPr>
          <w:color w:val="000000"/>
          <w:lang w:eastAsia="lt-LT"/>
        </w:rPr>
        <w:t>praėjus 4 savaitėms, bet ne daugiau kaip 13 savaičių nuo pirmosios „</w:t>
      </w:r>
      <w:proofErr w:type="spellStart"/>
      <w:r>
        <w:rPr>
          <w:color w:val="000000"/>
          <w:lang w:eastAsia="lt-LT"/>
        </w:rPr>
        <w:t>Vaxzevria</w:t>
      </w:r>
      <w:proofErr w:type="spellEnd"/>
      <w:r>
        <w:rPr>
          <w:color w:val="000000"/>
          <w:lang w:eastAsia="lt-LT"/>
        </w:rPr>
        <w:t>“ vakcinos dozės suleidimo, išskyrus šio įsakymo 2.5 papunktyje nurodytą atvejį;</w:t>
      </w:r>
    </w:p>
    <w:p w14:paraId="392F4A3E" w14:textId="2A60785C" w:rsidR="001D510B" w:rsidRDefault="002C0294">
      <w:pPr>
        <w:tabs>
          <w:tab w:val="left" w:pos="1418"/>
          <w:tab w:val="left" w:pos="1701"/>
        </w:tabs>
        <w:ind w:firstLine="851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2.4</w:t>
      </w:r>
      <w:r>
        <w:rPr>
          <w:color w:val="000000"/>
          <w:lang w:eastAsia="lt-LT"/>
        </w:rPr>
        <w:t>.</w:t>
      </w:r>
      <w:r>
        <w:rPr>
          <w:color w:val="000000"/>
          <w:lang w:eastAsia="lt-LT"/>
        </w:rPr>
        <w:tab/>
        <w:t>po antrosios „</w:t>
      </w:r>
      <w:proofErr w:type="spellStart"/>
      <w:r>
        <w:rPr>
          <w:color w:val="000000"/>
          <w:lang w:eastAsia="lt-LT"/>
        </w:rPr>
        <w:t>Vaxzevria</w:t>
      </w:r>
      <w:proofErr w:type="spellEnd"/>
      <w:r>
        <w:rPr>
          <w:color w:val="000000"/>
          <w:lang w:eastAsia="lt-LT"/>
        </w:rPr>
        <w:t>“ vakcinos dozės suleidimo pagal skiepijimo schemą;</w:t>
      </w:r>
    </w:p>
    <w:p w14:paraId="045D3456" w14:textId="079A9A6A" w:rsidR="001D510B" w:rsidRDefault="002C0294">
      <w:pPr>
        <w:tabs>
          <w:tab w:val="left" w:pos="1418"/>
          <w:tab w:val="left" w:pos="1701"/>
        </w:tabs>
        <w:ind w:firstLine="851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2.5</w:t>
      </w:r>
      <w:r>
        <w:rPr>
          <w:color w:val="000000"/>
          <w:lang w:eastAsia="lt-LT"/>
        </w:rPr>
        <w:t>.</w:t>
      </w:r>
      <w:r>
        <w:rPr>
          <w:color w:val="000000"/>
          <w:lang w:eastAsia="lt-LT"/>
        </w:rPr>
        <w:tab/>
        <w:t>praėj</w:t>
      </w:r>
      <w:r>
        <w:rPr>
          <w:color w:val="000000"/>
          <w:lang w:eastAsia="lt-LT"/>
        </w:rPr>
        <w:t>us 2 savaitėms nuo „</w:t>
      </w:r>
      <w:proofErr w:type="spellStart"/>
      <w:r>
        <w:rPr>
          <w:color w:val="000000"/>
          <w:lang w:eastAsia="lt-LT"/>
        </w:rPr>
        <w:t>Comirnaty</w:t>
      </w:r>
      <w:proofErr w:type="spellEnd"/>
      <w:r>
        <w:rPr>
          <w:color w:val="000000"/>
          <w:lang w:eastAsia="lt-LT"/>
        </w:rPr>
        <w:t>“, „</w:t>
      </w:r>
      <w:proofErr w:type="spellStart"/>
      <w:r>
        <w:rPr>
          <w:color w:val="000000"/>
          <w:lang w:eastAsia="lt-LT"/>
        </w:rPr>
        <w:t>Spikevax</w:t>
      </w:r>
      <w:proofErr w:type="spellEnd"/>
      <w:r>
        <w:rPr>
          <w:color w:val="000000"/>
          <w:lang w:eastAsia="lt-LT"/>
        </w:rPr>
        <w:t>“ ar „</w:t>
      </w:r>
      <w:proofErr w:type="spellStart"/>
      <w:r>
        <w:rPr>
          <w:color w:val="000000"/>
          <w:lang w:eastAsia="lt-LT"/>
        </w:rPr>
        <w:t>Vaxzevria</w:t>
      </w:r>
      <w:proofErr w:type="spellEnd"/>
      <w:r>
        <w:rPr>
          <w:color w:val="000000"/>
          <w:lang w:eastAsia="lt-LT"/>
        </w:rPr>
        <w:t>“ vakcinos vienos dozės suleidimo asmeniui, kuris persirgo COVID-19 liga (</w:t>
      </w:r>
      <w:proofErr w:type="spellStart"/>
      <w:r>
        <w:rPr>
          <w:color w:val="000000"/>
          <w:lang w:eastAsia="lt-LT"/>
        </w:rPr>
        <w:t>koronaviruso</w:t>
      </w:r>
      <w:proofErr w:type="spellEnd"/>
      <w:r>
        <w:rPr>
          <w:color w:val="000000"/>
          <w:lang w:eastAsia="lt-LT"/>
        </w:rPr>
        <w:t xml:space="preserve"> infekcija) ir diagnozė buvo patvirtinta remiantis teigiamu PGR tyrimo rezultatu;</w:t>
      </w:r>
    </w:p>
    <w:p w14:paraId="18A16A5E" w14:textId="5B9C18F4" w:rsidR="001D510B" w:rsidRDefault="002C0294" w:rsidP="002C0294">
      <w:pPr>
        <w:tabs>
          <w:tab w:val="left" w:pos="1418"/>
          <w:tab w:val="left" w:pos="1701"/>
        </w:tabs>
        <w:ind w:firstLine="851"/>
        <w:jc w:val="both"/>
        <w:rPr>
          <w:color w:val="000000"/>
          <w:szCs w:val="24"/>
        </w:rPr>
      </w:pPr>
      <w:r>
        <w:rPr>
          <w:color w:val="000000"/>
          <w:lang w:eastAsia="lt-LT"/>
        </w:rPr>
        <w:t>2.6</w:t>
      </w:r>
      <w:r>
        <w:rPr>
          <w:color w:val="000000"/>
          <w:lang w:eastAsia="lt-LT"/>
        </w:rPr>
        <w:t>.</w:t>
      </w:r>
      <w:r>
        <w:rPr>
          <w:color w:val="000000"/>
          <w:lang w:eastAsia="lt-LT"/>
        </w:rPr>
        <w:tab/>
      </w:r>
      <w:r>
        <w:rPr>
          <w:color w:val="000000"/>
          <w:szCs w:val="24"/>
          <w:lang w:eastAsia="lt-LT"/>
        </w:rPr>
        <w:t>praėjus vienai savaitei</w:t>
      </w:r>
      <w:r>
        <w:rPr>
          <w:color w:val="000000"/>
          <w:szCs w:val="24"/>
          <w:lang w:eastAsia="lt-LT"/>
        </w:rPr>
        <w:t xml:space="preserve"> nuo „</w:t>
      </w:r>
      <w:proofErr w:type="spellStart"/>
      <w:r>
        <w:rPr>
          <w:color w:val="000000"/>
          <w:szCs w:val="24"/>
          <w:lang w:eastAsia="lt-LT"/>
        </w:rPr>
        <w:t>Comirnaty</w:t>
      </w:r>
      <w:proofErr w:type="spellEnd"/>
      <w:r>
        <w:rPr>
          <w:color w:val="000000"/>
          <w:szCs w:val="24"/>
          <w:lang w:eastAsia="lt-LT"/>
        </w:rPr>
        <w:t>“ ar „</w:t>
      </w:r>
      <w:proofErr w:type="spellStart"/>
      <w:r>
        <w:rPr>
          <w:color w:val="000000"/>
          <w:szCs w:val="24"/>
          <w:lang w:eastAsia="lt-LT"/>
        </w:rPr>
        <w:t>Vaxzevria</w:t>
      </w:r>
      <w:proofErr w:type="spellEnd"/>
      <w:r>
        <w:rPr>
          <w:color w:val="000000"/>
          <w:szCs w:val="24"/>
          <w:lang w:eastAsia="lt-LT"/>
        </w:rPr>
        <w:t>“ vakcinos antrosios dozės suleidimo, jei pirmajai skiepo dozei buvo naudojama „</w:t>
      </w:r>
      <w:proofErr w:type="spellStart"/>
      <w:r>
        <w:rPr>
          <w:color w:val="000000"/>
          <w:szCs w:val="24"/>
          <w:lang w:eastAsia="lt-LT"/>
        </w:rPr>
        <w:t>Vaxzevria</w:t>
      </w:r>
      <w:proofErr w:type="spellEnd"/>
      <w:r>
        <w:rPr>
          <w:color w:val="000000"/>
          <w:szCs w:val="24"/>
          <w:lang w:eastAsia="lt-LT"/>
        </w:rPr>
        <w:t>“ vakcina, o antrajai – „</w:t>
      </w:r>
      <w:proofErr w:type="spellStart"/>
      <w:r>
        <w:rPr>
          <w:color w:val="000000"/>
          <w:szCs w:val="24"/>
          <w:lang w:eastAsia="lt-LT"/>
        </w:rPr>
        <w:t>Comirnaty</w:t>
      </w:r>
      <w:proofErr w:type="spellEnd"/>
      <w:r>
        <w:rPr>
          <w:color w:val="000000"/>
          <w:szCs w:val="24"/>
          <w:lang w:eastAsia="lt-LT"/>
        </w:rPr>
        <w:t>“ vakcina arba atvirkščiai</w:t>
      </w:r>
      <w:r>
        <w:rPr>
          <w:color w:val="000000"/>
          <w:lang w:eastAsia="lt-LT"/>
        </w:rPr>
        <w:t>.</w:t>
      </w:r>
    </w:p>
    <w:p w14:paraId="71420F0A" w14:textId="77777777" w:rsidR="002C0294" w:rsidRDefault="002C0294"/>
    <w:p w14:paraId="75229C9D" w14:textId="77777777" w:rsidR="002C0294" w:rsidRDefault="002C0294"/>
    <w:p w14:paraId="4BDF3ACE" w14:textId="77777777" w:rsidR="002C0294" w:rsidRDefault="002C0294"/>
    <w:p w14:paraId="48B6A103" w14:textId="0E47D77D" w:rsidR="001D510B" w:rsidRDefault="002C0294">
      <w:pPr>
        <w:rPr>
          <w:szCs w:val="24"/>
          <w:lang w:eastAsia="lt-LT"/>
        </w:rPr>
      </w:pPr>
      <w:bookmarkStart w:id="0" w:name="_GoBack"/>
      <w:bookmarkEnd w:id="0"/>
      <w:r>
        <w:rPr>
          <w:szCs w:val="24"/>
        </w:rPr>
        <w:t>Sveikatos apsaugos ministras</w:t>
      </w:r>
      <w:r>
        <w:rPr>
          <w:szCs w:val="24"/>
        </w:rPr>
        <w:tab/>
        <w:t xml:space="preserve">   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szCs w:val="24"/>
        </w:rPr>
        <w:t xml:space="preserve">    Arūnas Dulkys</w:t>
      </w:r>
    </w:p>
    <w:sectPr w:rsidR="001D51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6" w:right="567" w:bottom="1418" w:left="1560" w:header="71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FED99" w14:textId="77777777" w:rsidR="001D510B" w:rsidRDefault="002C0294">
      <w:r>
        <w:separator/>
      </w:r>
    </w:p>
  </w:endnote>
  <w:endnote w:type="continuationSeparator" w:id="0">
    <w:p w14:paraId="194EEBC6" w14:textId="77777777" w:rsidR="001D510B" w:rsidRDefault="002C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0EE1B" w14:textId="77777777" w:rsidR="001D510B" w:rsidRDefault="001D510B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986FB" w14:textId="77777777" w:rsidR="001D510B" w:rsidRDefault="001D510B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CAE99" w14:textId="77777777" w:rsidR="001D510B" w:rsidRDefault="001D510B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84FCE" w14:textId="77777777" w:rsidR="001D510B" w:rsidRDefault="002C0294">
      <w:r>
        <w:separator/>
      </w:r>
    </w:p>
  </w:footnote>
  <w:footnote w:type="continuationSeparator" w:id="0">
    <w:p w14:paraId="3F2C86C4" w14:textId="77777777" w:rsidR="001D510B" w:rsidRDefault="002C0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5EB1D" w14:textId="77777777" w:rsidR="001D510B" w:rsidRDefault="001D510B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381460"/>
      <w:docPartObj>
        <w:docPartGallery w:val="Page Numbers (Top of Page)"/>
        <w:docPartUnique/>
      </w:docPartObj>
    </w:sdtPr>
    <w:sdtContent>
      <w:p w14:paraId="53BA733F" w14:textId="75BEF941" w:rsidR="002C0294" w:rsidRDefault="002C029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FBB1150" w14:textId="77777777" w:rsidR="001D510B" w:rsidRDefault="001D510B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BADBE" w14:textId="77777777" w:rsidR="001D510B" w:rsidRDefault="001D510B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ED"/>
    <w:rsid w:val="001D510B"/>
    <w:rsid w:val="002C0294"/>
    <w:rsid w:val="0086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5CE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C0294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C0294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C0294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C0294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1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1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8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1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2174</Words>
  <Characters>1240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2021-08-27T12:14:00Z</dcterms:created>
  <dc:creator>Agnė Kaminskienė</dc:creator>
  <lastModifiedBy>TAMALIŪNIENĖ Vilija</lastModifiedBy>
  <lastPrinted>2020-06-16T07:02:00Z</lastPrinted>
  <dcterms:modified xsi:type="dcterms:W3CDTF">2021-08-27T12:42:00Z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0x01010069DA84717BECCF45B68D0FEEC6C8FCE4</vt:lpwstr>
  </property>
</Properties>
</file>